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00" w:rsidRPr="00235DE2" w:rsidRDefault="00516200" w:rsidP="005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35DE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PROVA </w:t>
      </w:r>
      <w:r w:rsidR="00FC43CF" w:rsidRPr="00235DE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ESCRITA - </w:t>
      </w:r>
      <w:r w:rsidRPr="00235DE2">
        <w:rPr>
          <w:rFonts w:ascii="Times New Roman" w:hAnsi="Times New Roman" w:cs="Times New Roman"/>
          <w:b/>
          <w:sz w:val="24"/>
          <w:szCs w:val="24"/>
          <w:lang w:eastAsia="pt-BR"/>
        </w:rPr>
        <w:t>OBJETIVA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01. Segundo a Teoria Patrimonialista, as contas dividem-se em: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a) Contas Patrimoniais e Contas de Resultado.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b)  Contas Integrais e Contas Diferenciais.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c)  Contas do Proprietário e Contas dos Agentes Consignatários.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d)  Contas de Ativo, Contas de Passivo e Contas de Patrimônio.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02.</w:t>
      </w:r>
      <w:r w:rsidRPr="00235DE2">
        <w:rPr>
          <w:rFonts w:ascii="Times New Roman" w:hAnsi="Times New Roman" w:cs="Times New Roman"/>
          <w:sz w:val="24"/>
          <w:szCs w:val="24"/>
        </w:rPr>
        <w:t xml:space="preserve"> Consiste na transferência, de uma Unidade Gestora para outra, do poder de utilizar créditos orçamentários que lhe tenham sido consignados no Orçamento ou lhe venham a ser transferidos posteriormente, podendo ser interna, se realizada entre Unidades Gestoras do mesmo órgão; ou externa, se efetuada entre órgãos distintos.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 Créditos Suplementares.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 Créditos Especiais.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 Autorização Legislativa.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 Repasses.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03.</w:t>
      </w:r>
      <w:r w:rsidRPr="00235DE2">
        <w:rPr>
          <w:rFonts w:ascii="Times New Roman" w:hAnsi="Times New Roman" w:cs="Times New Roman"/>
          <w:sz w:val="24"/>
          <w:szCs w:val="24"/>
        </w:rPr>
        <w:t xml:space="preserve"> Sobre o regime contábil adotado pela contabilidade pública no Brasil, conforme disposto na Lei n° 4.320/64, NÃO é correto afirmar: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 A inscrição na Dívida Ativa constitui uma exceção ao Regime de Caixa.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 A contabilização das receitas observa o regime de caixa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 A inscrição em Restos a Pagar processados é uma exceção ao Regime de Competência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 Pertencem ao exercício financeiro as despesas nele legalmente empenhadas.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04.</w:t>
      </w:r>
      <w:r w:rsidRPr="00235DE2">
        <w:rPr>
          <w:rFonts w:ascii="Times New Roman" w:hAnsi="Times New Roman" w:cs="Times New Roman"/>
          <w:lang w:eastAsia="pt-BR"/>
        </w:rPr>
        <w:t xml:space="preserve"> </w:t>
      </w:r>
      <w:r w:rsidRPr="00235DE2">
        <w:rPr>
          <w:rFonts w:ascii="Times New Roman" w:hAnsi="Times New Roman" w:cs="Times New Roman"/>
        </w:rPr>
        <w:t>Processo orçamentário que se caracteriza por apresentar duas dimensões do orçamento: o objeto de gasto e um programa de trabalho, contendo as ações desenvolvidas. Toda a ênfase reside no desempenho organizacional, sendo também conhecido como orçamento funcional”. A definição apresentada diz respeito ao: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 Orçamento Incremental.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 Orçamento Desempenho.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 Orçamento Tradicional.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 Orçamento Base-Zero.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  <w:lang w:eastAsia="pt-BR"/>
        </w:rPr>
        <w:t>05.</w:t>
      </w:r>
      <w:r w:rsidRPr="00235DE2">
        <w:rPr>
          <w:rFonts w:ascii="Times New Roman" w:hAnsi="Times New Roman" w:cs="Times New Roman"/>
          <w:sz w:val="24"/>
          <w:szCs w:val="24"/>
        </w:rPr>
        <w:t xml:space="preserve"> Os valores retidos na forma estabelecida pela Instrução Normativa SRF n° 480/2004 deverão ser recolhidos ao Tesouro Nacional, mediante Documento de Arrecadação de Receitas Federais (</w:t>
      </w:r>
      <w:proofErr w:type="spellStart"/>
      <w:r w:rsidRPr="00235DE2">
        <w:rPr>
          <w:rFonts w:ascii="Times New Roman" w:hAnsi="Times New Roman" w:cs="Times New Roman"/>
          <w:sz w:val="24"/>
          <w:szCs w:val="24"/>
        </w:rPr>
        <w:t>Darf</w:t>
      </w:r>
      <w:proofErr w:type="spellEnd"/>
      <w:r w:rsidRPr="00235DE2">
        <w:rPr>
          <w:rFonts w:ascii="Times New Roman" w:hAnsi="Times New Roman" w:cs="Times New Roman"/>
          <w:sz w:val="24"/>
          <w:szCs w:val="24"/>
        </w:rPr>
        <w:t>), pelos órgãos da Administração Federal Direta, autarquias e fundações federais que efetuarem a retenção, até: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 O 3º dia útil da semana subsequente àquela em que tiver ocorrido o pagamento à pessoa jurídica fornecedora dos bens ou prestadora do serviço.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 O último dia útil da semana subsequente àquela quinzena em que tiver ocorrido o pagamento à pessoa jurídica fornecedora dos bens ou prestadora do serviço.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 O 5º dia útil da semana subsequente àquela em que tiver ocorrido o pagamento à pessoa jurídica fornecedora dos bens ou prestadora do serviço.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 O 3º dia útil do mês subsequente àquele em que tiver ocorrido o pagamento à pessoa jurídica fornecedora dos bens ou prestadora do serviço.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06.</w:t>
      </w:r>
      <w:r w:rsidRPr="00235DE2">
        <w:rPr>
          <w:rFonts w:ascii="Times New Roman" w:hAnsi="Times New Roman" w:cs="Times New Roman"/>
          <w:sz w:val="24"/>
          <w:szCs w:val="24"/>
        </w:rPr>
        <w:t xml:space="preserve"> A primeira fase da movimentação de recursos financeiros oriundos do Orçamento da União, entre as Unidades Gestoras que compõem o Sistema de Programação Financeira, se dá sob a forma de liberação de: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 Repasses.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 Cotas.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 Concessão de limite de saque.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 Autorização de saque.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07. </w:t>
      </w:r>
      <w:r w:rsidRPr="00235DE2">
        <w:rPr>
          <w:rFonts w:ascii="Times New Roman" w:hAnsi="Times New Roman" w:cs="Times New Roman"/>
          <w:sz w:val="24"/>
          <w:szCs w:val="24"/>
        </w:rPr>
        <w:t>De acordo com as normas contidas na Lei n° 6.404/76, com suas posteriores alterações, as contrapartidas de aumentos de valor atribuído a elementos do Ativo, em decorrência da sua avaliação a valor justo, enquanto não computadas no resultado do exercício em obediência ao Regime de Competência, serão classificadas como: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 Reserva de Avaliação Patrimonial.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 Reserva de Capital.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 Ajustes de Avaliação Patrimonial.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 Ajustes Para Valores de Mercado.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08.</w:t>
      </w:r>
      <w:r w:rsidRPr="00235DE2">
        <w:rPr>
          <w:rFonts w:ascii="Times New Roman" w:hAnsi="Times New Roman" w:cs="Times New Roman"/>
          <w:sz w:val="24"/>
          <w:szCs w:val="24"/>
        </w:rPr>
        <w:t xml:space="preserve">  Na Demonstração dos Fluxos de Caixa, pode-se citar como exemplos de fluxo de caixa das Atividades Operacionais: Recebimento de caixa</w:t>
      </w:r>
      <w:r w:rsidRPr="00235DE2">
        <w:rPr>
          <w:rFonts w:ascii="Times New Roman" w:hAnsi="Times New Roman" w:cs="Times New Roman"/>
          <w:sz w:val="24"/>
          <w:szCs w:val="24"/>
        </w:rPr>
        <w:br/>
        <w:t>a) Decorrente de contratos mantidos para negociação imediata e pagamentos de caixa decorrentes da aquisição de ações da própria entidade.</w:t>
      </w:r>
      <w:r w:rsidRPr="00235DE2">
        <w:rPr>
          <w:rFonts w:ascii="Times New Roman" w:hAnsi="Times New Roman" w:cs="Times New Roman"/>
          <w:sz w:val="24"/>
          <w:szCs w:val="24"/>
        </w:rPr>
        <w:br/>
        <w:t>b) Proveniente da emissão de debêntures e pagamentos por aquisição de instrumentos patrimoniais de controlada.</w:t>
      </w:r>
      <w:r w:rsidRPr="00235DE2">
        <w:rPr>
          <w:rFonts w:ascii="Times New Roman" w:hAnsi="Times New Roman" w:cs="Times New Roman"/>
          <w:sz w:val="24"/>
          <w:szCs w:val="24"/>
        </w:rPr>
        <w:br/>
        <w:t>c) Decorrente da emissão de ações e pagamentos de caixa decorrentes de imposto sobre a renda.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d) Decorrente de royalties e pagamentos de caixa a fornecedores de mercadorias.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09. Considere as seguintes assertivas sobre Ativos Intangíveis:</w:t>
      </w:r>
      <w:r w:rsidRPr="00235DE2">
        <w:rPr>
          <w:rFonts w:ascii="Times New Roman" w:hAnsi="Times New Roman" w:cs="Times New Roman"/>
          <w:sz w:val="24"/>
          <w:szCs w:val="24"/>
        </w:rPr>
        <w:br/>
        <w:t>I. O custo de um ativo intangível (identificado e separável) adquirido em uma combinação de negócios é o seu valor justo na data da aquisição.</w:t>
      </w:r>
      <w:r w:rsidRPr="00235DE2">
        <w:rPr>
          <w:rFonts w:ascii="Times New Roman" w:hAnsi="Times New Roman" w:cs="Times New Roman"/>
          <w:sz w:val="24"/>
          <w:szCs w:val="24"/>
        </w:rPr>
        <w:br/>
        <w:t>II. Os ativos intangíveis gerados internamente, resultantes da fase de pesquisa, devem ser reconhecidos, uma vez que o</w:t>
      </w:r>
      <w:r w:rsidRPr="00235DE2">
        <w:rPr>
          <w:rFonts w:ascii="Times New Roman" w:hAnsi="Times New Roman" w:cs="Times New Roman"/>
          <w:sz w:val="24"/>
          <w:szCs w:val="24"/>
        </w:rPr>
        <w:br/>
        <w:t>custo pode ser determinado com segurança.</w:t>
      </w:r>
      <w:r w:rsidRPr="00235DE2">
        <w:rPr>
          <w:rFonts w:ascii="Times New Roman" w:hAnsi="Times New Roman" w:cs="Times New Roman"/>
          <w:sz w:val="24"/>
          <w:szCs w:val="24"/>
        </w:rPr>
        <w:br/>
        <w:t>III. Um ativo intangível com vida útil indefinida deve ser reconhecido inicialmente pelo custo, não sofre amortização e está sujeito ao teste de redução ao valor recuperável.</w:t>
      </w:r>
      <w:r w:rsidRPr="00235DE2">
        <w:rPr>
          <w:rFonts w:ascii="Times New Roman" w:hAnsi="Times New Roman" w:cs="Times New Roman"/>
          <w:sz w:val="24"/>
          <w:szCs w:val="24"/>
        </w:rPr>
        <w:br/>
        <w:t xml:space="preserve">Está correto o que se </w:t>
      </w:r>
      <w:proofErr w:type="spellStart"/>
      <w:r w:rsidRPr="00235DE2">
        <w:rPr>
          <w:rFonts w:ascii="Times New Roman" w:hAnsi="Times New Roman" w:cs="Times New Roman"/>
          <w:sz w:val="24"/>
          <w:szCs w:val="24"/>
        </w:rPr>
        <w:t>afirma</w:t>
      </w:r>
      <w:proofErr w:type="spellEnd"/>
      <w:r w:rsidRPr="00235DE2">
        <w:rPr>
          <w:rFonts w:ascii="Times New Roman" w:hAnsi="Times New Roman" w:cs="Times New Roman"/>
          <w:sz w:val="24"/>
          <w:szCs w:val="24"/>
        </w:rPr>
        <w:t xml:space="preserve"> em</w:t>
      </w:r>
      <w:r w:rsidRPr="00235DE2">
        <w:rPr>
          <w:rFonts w:ascii="Times New Roman" w:hAnsi="Times New Roman" w:cs="Times New Roman"/>
          <w:sz w:val="24"/>
          <w:szCs w:val="24"/>
        </w:rPr>
        <w:br/>
        <w:t>a) III, apenas.</w:t>
      </w:r>
      <w:r w:rsidRPr="00235DE2">
        <w:rPr>
          <w:rFonts w:ascii="Times New Roman" w:hAnsi="Times New Roman" w:cs="Times New Roman"/>
          <w:sz w:val="24"/>
          <w:szCs w:val="24"/>
        </w:rPr>
        <w:br/>
        <w:t>b) I e II, apenas.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c) I e III, apenas.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t>d) II e III, apenas.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 xml:space="preserve">10. O empenhamento da despesa pública deve estar em consonância com a classificação institucional, funcional e programática. Em relação a classificação da despesa orçamentária, segundo a sua natureza, compõe-se de; 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a) Categoria econômica, grupo de natureza da despesa e elemento de despesa.</w:t>
      </w:r>
      <w:r w:rsidRPr="00235DE2">
        <w:rPr>
          <w:rFonts w:ascii="Times New Roman" w:hAnsi="Times New Roman" w:cs="Times New Roman"/>
          <w:sz w:val="24"/>
          <w:szCs w:val="24"/>
        </w:rPr>
        <w:t xml:space="preserve"> 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lastRenderedPageBreak/>
        <w:t xml:space="preserve">b) Despesa corrente e de capital. </w:t>
      </w:r>
      <w:r w:rsidRPr="00235DE2">
        <w:rPr>
          <w:rFonts w:ascii="Times New Roman" w:hAnsi="Times New Roman" w:cs="Times New Roman"/>
          <w:sz w:val="24"/>
          <w:szCs w:val="24"/>
        </w:rPr>
        <w:br/>
        <w:t xml:space="preserve">c) Despesa de custeio e de investimentos. </w:t>
      </w:r>
      <w:r w:rsidRPr="00235DE2">
        <w:rPr>
          <w:rFonts w:ascii="Times New Roman" w:hAnsi="Times New Roman" w:cs="Times New Roman"/>
          <w:sz w:val="24"/>
          <w:szCs w:val="24"/>
        </w:rPr>
        <w:br/>
        <w:t xml:space="preserve">d) Despesa com pessoal, material de consumo, investimentos e amortização da dívida. 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br/>
        <w:t>11.Uma empresa deixou de registrar uma receita no exercício em que ocorreu, registrando somente no exercício do recebimento em caixa. Neste caso deixou de observar o princípio do (a</w:t>
      </w:r>
      <w:proofErr w:type="gramStart"/>
      <w:r w:rsidRPr="00235DE2">
        <w:rPr>
          <w:rFonts w:ascii="Times New Roman" w:hAnsi="Times New Roman" w:cs="Times New Roman"/>
          <w:sz w:val="24"/>
          <w:szCs w:val="24"/>
        </w:rPr>
        <w:t>).</w:t>
      </w:r>
      <w:r w:rsidRPr="00235DE2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235DE2">
        <w:rPr>
          <w:rFonts w:ascii="Times New Roman" w:hAnsi="Times New Roman" w:cs="Times New Roman"/>
          <w:sz w:val="24"/>
          <w:szCs w:val="24"/>
        </w:rPr>
        <w:t>) Prudência.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b) Competência.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t>c) Registro pelo valor original.</w:t>
      </w:r>
      <w:r w:rsidRPr="00235DE2">
        <w:rPr>
          <w:rFonts w:ascii="Times New Roman" w:hAnsi="Times New Roman" w:cs="Times New Roman"/>
          <w:sz w:val="24"/>
          <w:szCs w:val="24"/>
        </w:rPr>
        <w:br/>
        <w:t>d) Entidade.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br/>
        <w:t>12. É matéria disposta na Lei de Diretrizes Orçamentárias, exceto: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a) Programas de duração continuada.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t>b) Equilíbrio entre receitas e despesas.</w:t>
      </w:r>
      <w:r w:rsidRPr="00235DE2">
        <w:rPr>
          <w:rFonts w:ascii="Times New Roman" w:hAnsi="Times New Roman" w:cs="Times New Roman"/>
          <w:sz w:val="24"/>
          <w:szCs w:val="24"/>
        </w:rPr>
        <w:br/>
        <w:t>c) Critérios e formas de limitação de empenho.</w:t>
      </w:r>
      <w:r w:rsidRPr="00235DE2">
        <w:rPr>
          <w:rFonts w:ascii="Times New Roman" w:hAnsi="Times New Roman" w:cs="Times New Roman"/>
          <w:sz w:val="24"/>
          <w:szCs w:val="24"/>
        </w:rPr>
        <w:br/>
        <w:t>d) Normas relativas ao controle de custos e a avaliação dos resultados dos programas financiados com recursos do orçamento.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13. De acordo com a Lei de Responsabilidade Fiscal a Lei Orçamentária Anual deverá conter:</w:t>
      </w:r>
      <w:r w:rsidRPr="00235DE2">
        <w:rPr>
          <w:rFonts w:ascii="Times New Roman" w:hAnsi="Times New Roman" w:cs="Times New Roman"/>
          <w:sz w:val="24"/>
          <w:szCs w:val="24"/>
        </w:rPr>
        <w:br/>
        <w:t>a) Autorização para abertura de créditos especiais.</w:t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b) Disposições sobre as alterações na legislação tributária.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c) A reserva de contingência com base na receita corrente líquida.</w:t>
      </w:r>
      <w:r w:rsidRPr="00235DE2">
        <w:rPr>
          <w:rFonts w:ascii="Times New Roman" w:hAnsi="Times New Roman" w:cs="Times New Roman"/>
          <w:sz w:val="24"/>
          <w:szCs w:val="24"/>
        </w:rPr>
        <w:br/>
        <w:t>d) O balanço orçamentário.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14. De acordo com a Lei de Responsabilidade Fiscal, são instrumentos de transparência da gestão fiscal, aos quais será dada ampla divulgação, inclusive em meios eletrônicos de acesso público os documentos a seguir relacionados, exceto.</w:t>
      </w:r>
      <w:r w:rsidRPr="00235DE2">
        <w:rPr>
          <w:rFonts w:ascii="Times New Roman" w:hAnsi="Times New Roman" w:cs="Times New Roman"/>
          <w:sz w:val="24"/>
          <w:szCs w:val="24"/>
        </w:rPr>
        <w:br/>
        <w:t>a) Os planos e orçamentos.</w:t>
      </w:r>
      <w:r w:rsidRPr="00235DE2">
        <w:rPr>
          <w:rFonts w:ascii="Times New Roman" w:hAnsi="Times New Roman" w:cs="Times New Roman"/>
          <w:sz w:val="24"/>
          <w:szCs w:val="24"/>
        </w:rPr>
        <w:br/>
        <w:t>b) A lei de diretrizes orçamentárias.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t>c) O relatório resumido da execução orçamentária e o relatório da gestão fiscal.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d) Os relatórios e pareceres de auditoria.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15. O Controle Interno na Administração Pública Federal constitui atuação do: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a) Secretaria de Federal de Controle.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t>b) Tribunal de Contas.</w:t>
      </w:r>
      <w:r w:rsidRPr="00235DE2">
        <w:rPr>
          <w:rFonts w:ascii="Times New Roman" w:hAnsi="Times New Roman" w:cs="Times New Roman"/>
          <w:sz w:val="24"/>
          <w:szCs w:val="24"/>
        </w:rPr>
        <w:br/>
        <w:t>c) Poder Judiciário.</w:t>
      </w:r>
      <w:r w:rsidRPr="00235DE2">
        <w:rPr>
          <w:rFonts w:ascii="Times New Roman" w:hAnsi="Times New Roman" w:cs="Times New Roman"/>
          <w:sz w:val="24"/>
          <w:szCs w:val="24"/>
        </w:rPr>
        <w:br/>
        <w:t>d) Ministério Público.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16. O risco de auditoria é a possibilidade de o auditor vir a emitir uma opinião tecnicamente inadequada sobre as demonstrações contábeis. O risco de auditoria que estaria relacionado coma as falhas dos sistemas contábeis e de controle interno que não detectariam distorções, eventualmente relevantes, por limitações de próprio sistema de controle instituído pela entidade, compreende o risco:</w:t>
      </w:r>
      <w:r w:rsidRPr="00235DE2">
        <w:rPr>
          <w:rFonts w:ascii="Times New Roman" w:hAnsi="Times New Roman" w:cs="Times New Roman"/>
          <w:sz w:val="24"/>
          <w:szCs w:val="24"/>
        </w:rPr>
        <w:br/>
        <w:t>a) Inerente.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lastRenderedPageBreak/>
        <w:t>b) De detecção.</w:t>
      </w:r>
      <w:r w:rsidRPr="00235DE2">
        <w:rPr>
          <w:rFonts w:ascii="Times New Roman" w:hAnsi="Times New Roman" w:cs="Times New Roman"/>
          <w:sz w:val="24"/>
          <w:szCs w:val="24"/>
        </w:rPr>
        <w:br/>
        <w:t>c) Contingente.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235DE2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235DE2">
        <w:rPr>
          <w:rFonts w:ascii="Times New Roman" w:hAnsi="Times New Roman" w:cs="Times New Roman"/>
          <w:bCs/>
          <w:sz w:val="24"/>
          <w:szCs w:val="24"/>
        </w:rPr>
        <w:t xml:space="preserve"> controle.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 xml:space="preserve">17. Dadas as das afirmações seguintes as quais se aplicam à </w:t>
      </w:r>
      <w:proofErr w:type="gramStart"/>
      <w:r w:rsidRPr="00235DE2">
        <w:rPr>
          <w:rFonts w:ascii="Times New Roman" w:hAnsi="Times New Roman" w:cs="Times New Roman"/>
          <w:sz w:val="24"/>
          <w:szCs w:val="24"/>
        </w:rPr>
        <w:t>Contabilidade,</w:t>
      </w:r>
      <w:r w:rsidRPr="00235DE2">
        <w:rPr>
          <w:rFonts w:ascii="Times New Roman" w:hAnsi="Times New Roman" w:cs="Times New Roman"/>
          <w:sz w:val="24"/>
          <w:szCs w:val="24"/>
        </w:rPr>
        <w:br/>
        <w:t>I.</w:t>
      </w:r>
      <w:proofErr w:type="gramEnd"/>
      <w:r w:rsidRPr="00235DE2">
        <w:rPr>
          <w:rFonts w:ascii="Times New Roman" w:hAnsi="Times New Roman" w:cs="Times New Roman"/>
          <w:sz w:val="24"/>
          <w:szCs w:val="24"/>
        </w:rPr>
        <w:t xml:space="preserve"> A </w:t>
      </w:r>
      <w:r w:rsidRPr="00235DE2">
        <w:rPr>
          <w:rFonts w:ascii="Times New Roman" w:hAnsi="Times New Roman" w:cs="Times New Roman"/>
          <w:bCs/>
          <w:sz w:val="24"/>
          <w:szCs w:val="24"/>
        </w:rPr>
        <w:t>Contabilidade é uma ciência que possibilita</w:t>
      </w:r>
      <w:r w:rsidRPr="00235DE2">
        <w:rPr>
          <w:rFonts w:ascii="Times New Roman" w:hAnsi="Times New Roman" w:cs="Times New Roman"/>
          <w:sz w:val="24"/>
          <w:szCs w:val="24"/>
        </w:rPr>
        <w:t>, por meio de suas técnicas, o estudo, a interpretação e o controle permanente do patrimônio.</w:t>
      </w:r>
      <w:r w:rsidRPr="00235DE2">
        <w:rPr>
          <w:rFonts w:ascii="Times New Roman" w:hAnsi="Times New Roman" w:cs="Times New Roman"/>
          <w:sz w:val="24"/>
          <w:szCs w:val="24"/>
        </w:rPr>
        <w:br/>
        <w:t>II. O objeto da Contabilidade compreende os bens, direitos e obrigações.</w:t>
      </w:r>
      <w:r w:rsidRPr="00235DE2">
        <w:rPr>
          <w:rFonts w:ascii="Times New Roman" w:hAnsi="Times New Roman" w:cs="Times New Roman"/>
          <w:sz w:val="24"/>
          <w:szCs w:val="24"/>
        </w:rPr>
        <w:br/>
        <w:t>III. Os usuários da informação contábil são os investidores, gerentes e administradores interessados em conhecer a situação da empresa.</w:t>
      </w:r>
      <w:r w:rsidRPr="00235DE2">
        <w:rPr>
          <w:rFonts w:ascii="Times New Roman" w:hAnsi="Times New Roman" w:cs="Times New Roman"/>
          <w:sz w:val="24"/>
          <w:szCs w:val="24"/>
        </w:rPr>
        <w:br/>
        <w:t>IV. A Contabilidade é o instrumento que fornece o máximo de informações úteis para a tomada de decisão.</w:t>
      </w:r>
      <w:r w:rsidRPr="00235DE2">
        <w:rPr>
          <w:rFonts w:ascii="Times New Roman" w:hAnsi="Times New Roman" w:cs="Times New Roman"/>
          <w:sz w:val="24"/>
          <w:szCs w:val="24"/>
        </w:rPr>
        <w:br/>
        <w:t>Quais são verdadeiras:</w:t>
      </w:r>
      <w:r w:rsidRPr="00235DE2">
        <w:rPr>
          <w:rFonts w:ascii="Times New Roman" w:hAnsi="Times New Roman" w:cs="Times New Roman"/>
          <w:sz w:val="24"/>
          <w:szCs w:val="24"/>
        </w:rPr>
        <w:br/>
        <w:t>a) II e III, apenas.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b) I, II e IV, apenas.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  <w:r w:rsidRPr="00235DE2">
        <w:rPr>
          <w:rFonts w:ascii="Times New Roman" w:hAnsi="Times New Roman" w:cs="Times New Roman"/>
          <w:sz w:val="24"/>
          <w:szCs w:val="24"/>
        </w:rPr>
        <w:t>c) II, III e IV, apenas.</w:t>
      </w:r>
      <w:r w:rsidRPr="00235DE2">
        <w:rPr>
          <w:rFonts w:ascii="Times New Roman" w:hAnsi="Times New Roman" w:cs="Times New Roman"/>
          <w:sz w:val="24"/>
          <w:szCs w:val="24"/>
        </w:rPr>
        <w:br/>
        <w:t>d) I e II, apenas.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18. Não é uma demonstração contábil para o setor público:</w:t>
      </w:r>
      <w:r w:rsidRPr="00235DE2">
        <w:rPr>
          <w:rFonts w:ascii="Times New Roman" w:hAnsi="Times New Roman" w:cs="Times New Roman"/>
          <w:sz w:val="24"/>
          <w:szCs w:val="24"/>
        </w:rPr>
        <w:br/>
        <w:t>a) Demonstração do Resultado Econômico.</w:t>
      </w:r>
      <w:r w:rsidRPr="00235DE2">
        <w:rPr>
          <w:rFonts w:ascii="Times New Roman" w:hAnsi="Times New Roman" w:cs="Times New Roman"/>
          <w:sz w:val="24"/>
          <w:szCs w:val="24"/>
        </w:rPr>
        <w:br/>
        <w:t>b) Balanço Financeiro.</w:t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c) Balanço Patrimonial.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d) Demonstração do Valor Adicionado.</w:t>
      </w:r>
      <w:r w:rsidRPr="00235DE2">
        <w:rPr>
          <w:rFonts w:ascii="Times New Roman" w:hAnsi="Times New Roman" w:cs="Times New Roman"/>
          <w:sz w:val="24"/>
          <w:szCs w:val="24"/>
        </w:rPr>
        <w:br/>
      </w:r>
    </w:p>
    <w:p w:rsidR="00516200" w:rsidRPr="00235DE2" w:rsidRDefault="00516200" w:rsidP="0051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E2">
        <w:rPr>
          <w:rFonts w:ascii="Times New Roman" w:hAnsi="Times New Roman" w:cs="Times New Roman"/>
          <w:sz w:val="24"/>
          <w:szCs w:val="24"/>
        </w:rPr>
        <w:t>19. De acordo com a Lei Complementar nº 101, de 04 de maio de 2000, assinale a opção correta.</w:t>
      </w:r>
      <w:r w:rsidRPr="00235DE2">
        <w:rPr>
          <w:rFonts w:ascii="Times New Roman" w:hAnsi="Times New Roman" w:cs="Times New Roman"/>
          <w:sz w:val="24"/>
          <w:szCs w:val="24"/>
        </w:rPr>
        <w:br/>
        <w:t>a) Integrarão as despesas da União, e serão incluídas na lei orçamentária, as do Banco Central do Brasil relativas a pessoal e encargos sociais, custeio administrativo, inclusive os destinados a benefícios e assistência aos servidores, e a investimentos.</w:t>
      </w:r>
      <w:r w:rsidRPr="00235DE2">
        <w:rPr>
          <w:rFonts w:ascii="Times New Roman" w:hAnsi="Times New Roman" w:cs="Times New Roman"/>
          <w:sz w:val="24"/>
          <w:szCs w:val="24"/>
        </w:rPr>
        <w:br/>
        <w:t>b) O impacto e o custo fiscal das operações realizadas pelo Banco do Brasil serão demonstrados a cada bimestre, nos termos em que dispuser o Plano Plurianual.</w:t>
      </w:r>
      <w:r w:rsidRPr="00235DE2">
        <w:rPr>
          <w:rFonts w:ascii="Times New Roman" w:hAnsi="Times New Roman" w:cs="Times New Roman"/>
          <w:sz w:val="24"/>
          <w:szCs w:val="24"/>
        </w:rPr>
        <w:br/>
        <w:t>c) Os balanços bimestrais do Banco do Brasil conterão notas explicativas sobre os custos da remuneração das disponibilidades do Tesouro Nacional e da rentabilidade de sua carteira de títulos, destacando os de emissão da União.</w:t>
      </w:r>
      <w:r w:rsidRPr="00235DE2">
        <w:rPr>
          <w:rFonts w:ascii="Times New Roman" w:hAnsi="Times New Roman" w:cs="Times New Roman"/>
          <w:sz w:val="24"/>
          <w:szCs w:val="24"/>
        </w:rPr>
        <w:br/>
      </w:r>
      <w:r w:rsidRPr="00235DE2">
        <w:rPr>
          <w:rFonts w:ascii="Times New Roman" w:hAnsi="Times New Roman" w:cs="Times New Roman"/>
          <w:bCs/>
          <w:sz w:val="24"/>
          <w:szCs w:val="24"/>
        </w:rPr>
        <w:t>d) A lei orçamentária não consignará dotação para investimento com duração inferior a um exercício financeiro que não esteja previsto no plano plurianual ou em lei que autorize a sua inclusão.</w:t>
      </w:r>
      <w:r w:rsidRPr="00235DE2">
        <w:rPr>
          <w:rFonts w:ascii="Times New Roman" w:hAnsi="Times New Roman" w:cs="Times New Roman"/>
          <w:bCs/>
          <w:sz w:val="24"/>
          <w:szCs w:val="24"/>
        </w:rPr>
        <w:br/>
      </w:r>
    </w:p>
    <w:p w:rsidR="00516200" w:rsidRPr="00235DE2" w:rsidRDefault="00516200" w:rsidP="0051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20. Esse Princípio Contábil reconhece o Patrimônio como objeto da Contabilidade e afirma a autonomia patrimonial, a necessidade da diferenciação de um Patrimônio particular no universo dos patrimônios existentes, independentemente de pertencer a uma pessoa, um conjunto de pessoas, uma sociedade ou instituição de qualquer natureza ou finalidade, com ou sem fins lucrativos. Consequentemente, nesta acepção, o Patrimônio não se confunde com aqueles dos seus sócios ou proprietários. É correto afirmar que o texto faz referência ao Princípio Contábil da(o)</w:t>
      </w:r>
    </w:p>
    <w:p w:rsidR="00516200" w:rsidRPr="00235DE2" w:rsidRDefault="00516200" w:rsidP="0051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lastRenderedPageBreak/>
        <w:t>É correto afirmar que o texto faz referência ao Princípio Contábil da(o)</w:t>
      </w:r>
    </w:p>
    <w:p w:rsidR="00516200" w:rsidRPr="00235DE2" w:rsidRDefault="00516200" w:rsidP="0051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a) Atualização monetária.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b) Competência.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c) Entidade.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d) Registro pelo valor original.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FC43CF" w:rsidP="0051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 ESCRITA - DISSERTATIVA</w:t>
      </w:r>
    </w:p>
    <w:p w:rsidR="00516200" w:rsidRPr="00235DE2" w:rsidRDefault="00516200" w:rsidP="0051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Resumidamente defina o conceito de contabilidade pública?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02. </w:t>
      </w:r>
      <w:r w:rsidR="00FC43CF"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crédito especial e crédito suplementar no Orçamento Público?</w:t>
      </w:r>
    </w:p>
    <w:bookmarkEnd w:id="0"/>
    <w:p w:rsidR="00516200" w:rsidRPr="00235DE2" w:rsidRDefault="00516200" w:rsidP="00516200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DE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200" w:rsidRPr="00235DE2" w:rsidRDefault="00516200" w:rsidP="0051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32" w:rsidRPr="00235DE2" w:rsidRDefault="00900732" w:rsidP="00516200"/>
    <w:sectPr w:rsidR="00900732" w:rsidRPr="00235DE2" w:rsidSect="00132DDE">
      <w:headerReference w:type="default" r:id="rId7"/>
      <w:pgSz w:w="11906" w:h="16838"/>
      <w:pgMar w:top="284" w:right="1134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C5" w:rsidRDefault="00C314C5" w:rsidP="00132DDE">
      <w:pPr>
        <w:spacing w:after="0" w:line="240" w:lineRule="auto"/>
      </w:pPr>
      <w:r>
        <w:separator/>
      </w:r>
    </w:p>
  </w:endnote>
  <w:endnote w:type="continuationSeparator" w:id="0">
    <w:p w:rsidR="00C314C5" w:rsidRDefault="00C314C5" w:rsidP="0013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C5" w:rsidRDefault="00C314C5" w:rsidP="00132DDE">
      <w:pPr>
        <w:spacing w:after="0" w:line="240" w:lineRule="auto"/>
      </w:pPr>
      <w:r>
        <w:separator/>
      </w:r>
    </w:p>
  </w:footnote>
  <w:footnote w:type="continuationSeparator" w:id="0">
    <w:p w:rsidR="00C314C5" w:rsidRDefault="00C314C5" w:rsidP="0013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DE" w:rsidRDefault="00132DDE">
    <w:pPr>
      <w:pStyle w:val="Cabealho"/>
    </w:pPr>
  </w:p>
  <w:tbl>
    <w:tblPr>
      <w:tblW w:w="90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1547"/>
    </w:tblGrid>
    <w:tr w:rsidR="00132DDE" w:rsidTr="00B327F5">
      <w:tc>
        <w:tcPr>
          <w:tcW w:w="1751" w:type="dxa"/>
          <w:hideMark/>
        </w:tcPr>
        <w:p w:rsidR="00132DDE" w:rsidRDefault="00132DDE" w:rsidP="00132DDE">
          <w:pPr>
            <w:snapToGrid w:val="0"/>
            <w:ind w:left="-284"/>
            <w:jc w:val="center"/>
            <w:rPr>
              <w:b/>
              <w:bCs/>
            </w:rPr>
          </w:pPr>
          <w:r w:rsidRPr="005A2A7D">
            <w:rPr>
              <w:b/>
              <w:noProof/>
              <w:lang w:eastAsia="pt-BR"/>
            </w:rPr>
            <w:drawing>
              <wp:inline distT="0" distB="0" distL="0" distR="0">
                <wp:extent cx="1114425" cy="971550"/>
                <wp:effectExtent l="0" t="0" r="9525" b="0"/>
                <wp:docPr id="41" name="Imagem 41" descr="Descrição: C:\Users\Iedo\Desktop\MATERIAL PUBLICIDADE\2013\brasao 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Iedo\Desktop\MATERIAL PUBLICIDADE\2013\brasao 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:rsidR="00132DDE" w:rsidRDefault="00132DDE" w:rsidP="00132DDE">
          <w:pPr>
            <w:snapToGrid w:val="0"/>
            <w:jc w:val="center"/>
            <w:rPr>
              <w:b/>
              <w:bCs/>
            </w:rPr>
          </w:pPr>
        </w:p>
        <w:p w:rsidR="00132DDE" w:rsidRDefault="00132DDE" w:rsidP="00132DDE">
          <w:pPr>
            <w:pStyle w:val="Cabealho"/>
            <w:spacing w:line="276" w:lineRule="auto"/>
            <w:ind w:right="-2"/>
            <w:jc w:val="center"/>
            <w:rPr>
              <w:b/>
            </w:rPr>
          </w:pPr>
          <w:r>
            <w:rPr>
              <w:b/>
            </w:rPr>
            <w:t>Estado de Santa Catarina</w:t>
          </w:r>
        </w:p>
        <w:p w:rsidR="00132DDE" w:rsidRDefault="00132DDE" w:rsidP="00132DDE">
          <w:pPr>
            <w:pStyle w:val="Cabealho"/>
            <w:spacing w:line="276" w:lineRule="auto"/>
            <w:jc w:val="center"/>
            <w:rPr>
              <w:b/>
            </w:rPr>
          </w:pPr>
          <w:r>
            <w:rPr>
              <w:b/>
            </w:rPr>
            <w:t>MUNICÍPIO DE SAUDADES</w:t>
          </w:r>
        </w:p>
        <w:p w:rsidR="00132DDE" w:rsidRPr="00E81C8E" w:rsidRDefault="00132DDE" w:rsidP="00132DD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EDITAL N. 04/2016 – PROCESSO SELETIVO DE ESTÁGIO 2016</w:t>
          </w:r>
        </w:p>
        <w:p w:rsidR="00132DDE" w:rsidRPr="004B7189" w:rsidRDefault="00132DDE" w:rsidP="00132DDE">
          <w:pPr>
            <w:pStyle w:val="Cabealho"/>
            <w:spacing w:line="276" w:lineRule="auto"/>
            <w:ind w:right="-2"/>
            <w:jc w:val="center"/>
            <w:rPr>
              <w:b/>
            </w:rPr>
          </w:pPr>
        </w:p>
      </w:tc>
      <w:tc>
        <w:tcPr>
          <w:tcW w:w="1547" w:type="dxa"/>
          <w:hideMark/>
        </w:tcPr>
        <w:p w:rsidR="00132DDE" w:rsidRDefault="00132DDE" w:rsidP="00132DDE">
          <w:pPr>
            <w:snapToGrid w:val="0"/>
            <w:ind w:right="184"/>
            <w:jc w:val="center"/>
          </w:pPr>
          <w:r w:rsidRPr="006746F5">
            <w:rPr>
              <w:noProof/>
              <w:lang w:eastAsia="pt-BR"/>
            </w:rPr>
            <w:drawing>
              <wp:inline distT="0" distB="0" distL="0" distR="0">
                <wp:extent cx="885825" cy="1057275"/>
                <wp:effectExtent l="0" t="0" r="9525" b="9525"/>
                <wp:docPr id="42" name="Imagem 42" descr="Descrição: C:\Users\Iedo\Desktop\MATERIAL PUBLICIDADE\2013\Marca Saudades\Anexo 1 - Logomarca Prefeitura de Saudad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Iedo\Desktop\MATERIAL PUBLICIDADE\2013\Marca Saudades\Anexo 1 - Logomarca Prefeitura de Saudad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DDE" w:rsidRDefault="00132DDE" w:rsidP="00132DDE">
    <w:pPr>
      <w:pStyle w:val="Cabealho"/>
      <w:ind w:right="-427"/>
      <w:jc w:val="center"/>
    </w:pPr>
  </w:p>
  <w:p w:rsidR="00132DDE" w:rsidRDefault="00132DDE">
    <w:pPr>
      <w:pStyle w:val="Cabealho"/>
    </w:pPr>
  </w:p>
  <w:p w:rsidR="00132DDE" w:rsidRDefault="00132D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8B"/>
    <w:multiLevelType w:val="hybridMultilevel"/>
    <w:tmpl w:val="9EB4D666"/>
    <w:lvl w:ilvl="0" w:tplc="B0BC9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224"/>
    <w:multiLevelType w:val="hybridMultilevel"/>
    <w:tmpl w:val="4FAE4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075"/>
    <w:multiLevelType w:val="hybridMultilevel"/>
    <w:tmpl w:val="13445836"/>
    <w:lvl w:ilvl="0" w:tplc="3CBAFD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FD2"/>
    <w:multiLevelType w:val="hybridMultilevel"/>
    <w:tmpl w:val="234A2812"/>
    <w:lvl w:ilvl="0" w:tplc="8A48955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59C4"/>
    <w:multiLevelType w:val="hybridMultilevel"/>
    <w:tmpl w:val="3C7C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AB5"/>
    <w:multiLevelType w:val="hybridMultilevel"/>
    <w:tmpl w:val="532C4EF6"/>
    <w:lvl w:ilvl="0" w:tplc="624EB79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7ACE"/>
    <w:multiLevelType w:val="hybridMultilevel"/>
    <w:tmpl w:val="AC805D4C"/>
    <w:lvl w:ilvl="0" w:tplc="CD68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2082"/>
    <w:multiLevelType w:val="hybridMultilevel"/>
    <w:tmpl w:val="721C20F2"/>
    <w:lvl w:ilvl="0" w:tplc="251CFCF8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BF"/>
    <w:rsid w:val="000070EA"/>
    <w:rsid w:val="00132DDE"/>
    <w:rsid w:val="00235DE2"/>
    <w:rsid w:val="002440B4"/>
    <w:rsid w:val="0027602D"/>
    <w:rsid w:val="00332168"/>
    <w:rsid w:val="004170CA"/>
    <w:rsid w:val="00461318"/>
    <w:rsid w:val="004A57CC"/>
    <w:rsid w:val="004D0090"/>
    <w:rsid w:val="00516200"/>
    <w:rsid w:val="00564754"/>
    <w:rsid w:val="0058511E"/>
    <w:rsid w:val="005B6B02"/>
    <w:rsid w:val="007224BF"/>
    <w:rsid w:val="0076774C"/>
    <w:rsid w:val="0078302E"/>
    <w:rsid w:val="008E43BD"/>
    <w:rsid w:val="008E6974"/>
    <w:rsid w:val="00900732"/>
    <w:rsid w:val="00A943FE"/>
    <w:rsid w:val="00AF435E"/>
    <w:rsid w:val="00B426AB"/>
    <w:rsid w:val="00B87C8F"/>
    <w:rsid w:val="00C23729"/>
    <w:rsid w:val="00C314C5"/>
    <w:rsid w:val="00C445C3"/>
    <w:rsid w:val="00C71AB9"/>
    <w:rsid w:val="00C965FE"/>
    <w:rsid w:val="00C96EC4"/>
    <w:rsid w:val="00E81C8E"/>
    <w:rsid w:val="00FC13B0"/>
    <w:rsid w:val="00FC43CF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1ADB4-4E1F-4417-915B-62B5B0F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090"/>
    <w:rPr>
      <w:b/>
      <w:bCs/>
    </w:rPr>
  </w:style>
  <w:style w:type="character" w:customStyle="1" w:styleId="apple-converted-space">
    <w:name w:val="apple-converted-space"/>
    <w:basedOn w:val="Fontepargpadro"/>
    <w:rsid w:val="00C965FE"/>
  </w:style>
  <w:style w:type="character" w:customStyle="1" w:styleId="a">
    <w:name w:val="a"/>
    <w:basedOn w:val="Fontepargpadro"/>
    <w:rsid w:val="00AF435E"/>
  </w:style>
  <w:style w:type="character" w:customStyle="1" w:styleId="l6">
    <w:name w:val="l6"/>
    <w:basedOn w:val="Fontepargpadro"/>
    <w:rsid w:val="004170CA"/>
  </w:style>
  <w:style w:type="paragraph" w:styleId="Textodebalo">
    <w:name w:val="Balloon Text"/>
    <w:basedOn w:val="Normal"/>
    <w:link w:val="TextodebaloChar"/>
    <w:uiPriority w:val="99"/>
    <w:semiHidden/>
    <w:unhideWhenUsed/>
    <w:rsid w:val="00F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5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13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DDE"/>
  </w:style>
  <w:style w:type="paragraph" w:styleId="Rodap">
    <w:name w:val="footer"/>
    <w:basedOn w:val="Normal"/>
    <w:link w:val="RodapChar"/>
    <w:uiPriority w:val="99"/>
    <w:unhideWhenUsed/>
    <w:rsid w:val="0013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2015-05-13T10:45:00Z</cp:lastPrinted>
  <dcterms:created xsi:type="dcterms:W3CDTF">2016-03-22T14:54:00Z</dcterms:created>
  <dcterms:modified xsi:type="dcterms:W3CDTF">2016-03-22T14:56:00Z</dcterms:modified>
</cp:coreProperties>
</file>